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xml" PartName="/customXML/item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package.core-properties+xml" PartName="/docProps/core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customXmlProperties+xml" PartName="/customXML/itemProps1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-2647938</wp:posOffset>
            </wp:positionH>
            <wp:positionV relativeFrom="paragraph">
              <wp:posOffset>-914386</wp:posOffset>
            </wp:positionV>
            <wp:extent cx="5732145" cy="4373880"/>
            <wp:effectExtent b="0" l="0" r="0" t="0"/>
            <wp:wrapNone/>
            <wp:docPr id="159700705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-389877</wp:posOffset>
            </wp:positionH>
            <wp:positionV relativeFrom="paragraph">
              <wp:posOffset>-514335</wp:posOffset>
            </wp:positionV>
            <wp:extent cx="3048000" cy="834853"/>
            <wp:effectExtent b="0" l="0" r="0" t="0"/>
            <wp:wrapNone/>
            <wp:docPr id="159700705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160020</wp:posOffset>
                </wp:positionV>
                <wp:extent cx="4438015" cy="1225918"/>
                <wp:effectExtent b="0" l="0" r="0" t="0"/>
                <wp:wrapSquare wrapText="bothSides" distB="45720" distT="45720" distL="114300" distR="114300"/>
                <wp:docPr id="159700704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175480"/>
                          <a:ext cx="4428490" cy="1209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ΣΧΕΔΙΟ ΜΑΘΗΜΑΤΟΣ ΚΑΤΑΡΤΙΣΗΣ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160020</wp:posOffset>
                </wp:positionV>
                <wp:extent cx="4438015" cy="1225918"/>
                <wp:effectExtent b="0" l="0" r="0" t="0"/>
                <wp:wrapSquare wrapText="bothSides" distB="45720" distT="45720" distL="114300" distR="114300"/>
                <wp:docPr id="159700704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38015" cy="122591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45720</wp:posOffset>
                </wp:positionV>
                <wp:extent cx="4781550" cy="1040130"/>
                <wp:effectExtent b="0" l="0" r="0" t="0"/>
                <wp:wrapSquare wrapText="bothSides" distB="45720" distT="45720" distL="114300" distR="114300"/>
                <wp:docPr id="159700705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ΠΕ3: Επιμόρφωση εκπαιδευτικών για αυθεντική και συμπεριληπτική ως προς το φύλο εκπαίδευση στην πληροφορική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393700</wp:posOffset>
                </wp:positionH>
                <wp:positionV relativeFrom="paragraph">
                  <wp:posOffset>45720</wp:posOffset>
                </wp:positionV>
                <wp:extent cx="4781550" cy="1040130"/>
                <wp:effectExtent b="0" l="0" r="0" t="0"/>
                <wp:wrapSquare wrapText="bothSides" distB="45720" distT="45720" distL="114300" distR="114300"/>
                <wp:docPr id="159700705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81550" cy="1040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53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ΓΕΝΙΚΕΣ ΠΛΗΡΟΦΟΡΙΕΣ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Ενότητα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Ενότητα 6: Σχεδιασμός μάθησης και αξιολόγησης για τάξεις ανώτερης πρωτοβάθμιας/κατώτερης δευτεροβάθμιας εκπαίδευσης με βάση το πλαίσιο TINKER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Κεφάλαιο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6.2: Σχεδιασμός δραστηριοτήτων αξιολόγησης ευθυγραμμισμένων με το Πλαίσιο TINKER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Ομάδα-στόχος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Εκπαιδευτικοί/Εκπαιδευτές/-τριες ανώτερης πρωτοβάθμιας/κατώτερης δευτεροβάθμιας εκπαίδευσης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Διάρκεια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60 λεπτά (συμπεριλαμβανομένου του προσωπικού χρόνου μελέτης)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Προαπαιτούμενα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Έννοιες που σχετίζονται με την αυθεντική και συμπεριληπτική μάθηση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Μονάδες ECTS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E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ΜΑΘΗΣΙΑΚΑ ΑΠΟΤΕΛΕΣΜΑΤΑ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ind w:left="28" w:firstLine="0"/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Θα προσδιορίζετε στρατηγικές διαμορφωτικής και αθροιστικής αξιολόγησης:</w:t>
            </w:r>
            <w:r w:rsidDel="00000000" w:rsidR="00000000" w:rsidRPr="00000000">
              <w:rPr>
                <w:rtl w:val="0"/>
              </w:rPr>
              <w:t xml:space="preserve"> Κατανοήστε τον ρόλο των διαμορφωτικών και αθροιστικών αξιολογήσεων στην εκπαίδευση στην πληροφορική.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4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Θα σχεδιάζετε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ένα εργαλείο διαμορφωτικής αξιολόγησης για τις ικανότητες πληροφορικής:</w:t>
            </w:r>
            <w:r w:rsidDel="00000000" w:rsidR="00000000" w:rsidRPr="00000000">
              <w:rPr>
                <w:rtl w:val="0"/>
              </w:rPr>
              <w:t xml:space="preserve"> Αναπτύξτε ένα εργαλείο αξιολόγησης με τουλάχιστον δύο πρακτικές εργασίες και μία ερώτηση αναστοχασμού που θα ευθυγραμμίζεται με το Πλαίσιο TINKER.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6">
            <w:pPr>
              <w:ind w:left="2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Θα εφαρμόζετε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εργαλεία για τη μέτρηση των ικανοτήτων πληροφορικής:</w:t>
            </w:r>
            <w:r w:rsidDel="00000000" w:rsidR="00000000" w:rsidRPr="00000000">
              <w:rPr>
                <w:rtl w:val="0"/>
              </w:rPr>
              <w:t xml:space="preserve"> Χρησιμοποιήστε προκλήσεις κωδικοποίησης ή δραστηριότητες επίλυσης προβλημάτων για την αξιολόγηση ικανοτήτων πληροφορικής, όπως η αλγοριθμική σκέψη.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Θα παρέχετε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rtl w:val="0"/>
              </w:rPr>
              <w:t xml:space="preserve">άμεση και εποικοδομητική ανατροφοδότηση:</w:t>
            </w:r>
            <w:r w:rsidDel="00000000" w:rsidR="00000000" w:rsidRPr="00000000">
              <w:rPr>
                <w:rtl w:val="0"/>
              </w:rPr>
              <w:t xml:space="preserve"> Αναπτύξτε στρατηγικές για την παροχή ανατροφοδότησης σε πραγματικό χρόνο με σκοπό τη βελτίωση των μαθησιακών αποτελεσμάτων.</w:t>
            </w:r>
          </w:p>
        </w:tc>
      </w:tr>
    </w:tbl>
    <w:p w:rsidR="00000000" w:rsidDel="00000000" w:rsidP="00000000" w:rsidRDefault="00000000" w:rsidRPr="00000000" w14:paraId="00000029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B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ΜΕΘΟΔΟΙ ΔΙΔΑΣΚΑΛΙΑΣ (επιλέξτε αυτές που ισχύουν)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Μάθηση με βάση την εμπειρία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Μάθηση μεταξύ συνομηλίκων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Μάθηση με βάση σχέδια εργασίας (PBL)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Πρακτική μάθηση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Στρατηγικές ενεργητικής μάθησης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Συνεργατική μάθηση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Μεικτή μάθηση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ΕΚΠΑΙΔΕΥΤΙΚΟ ΥΛΙΚΟ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Απαιτούμενος υλικοτεχνικός εξοπλισμός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10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Διαφάνειες PowerPoint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0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Έντυπα με πρότυπα για τον σχεδιασμό διαμορφωτικής αξιολόγησης - </w:t>
            </w:r>
            <w:sdt>
              <w:sdtPr>
                <w:id w:val="-988282197"/>
                <w:tag w:val="goog_rdk_0"/>
              </w:sdtPr>
              <w:sdtContent>
                <w:commentRangeStart w:id="0"/>
              </w:sdtContent>
            </w:sdt>
            <w:sdt>
              <w:sdtPr>
                <w:id w:val="-1801214033"/>
                <w:tag w:val="goog_rdk_1"/>
              </w:sdtPr>
              <w:sdtContent>
                <w:commentRangeStart w:id="1"/>
              </w:sdtContent>
            </w:sdt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link</w:t>
              </w:r>
            </w:hyperlink>
            <w:commentRangeEnd w:id="0"/>
            <w:r w:rsidDel="00000000" w:rsidR="00000000" w:rsidRPr="00000000">
              <w:commentReference w:id="0"/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0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Κατευθυντήριες οδηγίες του Πλαισίου TINKER (</w:t>
            </w:r>
            <w:hyperlink r:id="rId14">
              <w:r w:rsidDel="00000000" w:rsidR="00000000" w:rsidRPr="00000000">
                <w:rPr>
                  <w:color w:val="16c45b"/>
                  <w:u w:val="single"/>
                  <w:rtl w:val="0"/>
                </w:rPr>
                <w:t xml:space="preserve">Έργο TINKER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0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Διαδικτυακά εργαλεία (π.χ. Google Forms, Kahoot ή Scratch)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Πρόσθετοι πόροι </w:t>
            </w:r>
          </w:p>
        </w:tc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Άρθρα σχετικά με στρατηγικές διαμορφωτικής αξιολόγησης που παρέχονται στους/στις εκπαιδευτικούς -</w:t>
            </w:r>
            <w:sdt>
              <w:sdtPr>
                <w:id w:val="-753203048"/>
                <w:tag w:val="goog_rdk_2"/>
              </w:sdtPr>
              <w:sdtContent>
                <w:commentRangeStart w:id="2"/>
              </w:sdtContent>
            </w:sdt>
            <w:sdt>
              <w:sdtPr>
                <w:id w:val="-192761160"/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tl w:val="0"/>
              </w:rPr>
              <w:t xml:space="preserve"> </w:t>
            </w: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link</w:t>
              </w:r>
            </w:hyperlink>
            <w:commentRangeEnd w:id="2"/>
            <w:r w:rsidDel="00000000" w:rsidR="00000000" w:rsidRPr="00000000">
              <w:commentReference w:id="2"/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ΠΕΡΙΕΧΟΜΕΝΟ ΚΕΦΑΛΑΙΟΥ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Εισαγωγή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Οι αξιολογήσεις διαδραματίζουν καθοριστικό ρόλο στην εκπαίδευση στην πληροφορική, καθώς διαμορφώνουν τόσο τη διαδικασία διδασκαλίας όσο και τα μαθησιακά αποτελέσματα των μαθητών/-τριών. Σε αυτό το μάθημα, για να κατανοήσουμε τον αντίκτυπό τους: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Θα παρουσιάσουμε μια γενική εικόνα της διαμορφωτικής και της αθροιστικής αξιολόγησης και της σημασίας τους στην εκπαίδευση στην πληροφορική.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Θα συνδέσουμε το θέμα με προηγούμενες γνώσεις συζητώντας πώς οι αξιολογήσεις οδηγούν στα μαθησιακά αποτελέσματα.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5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Θα επισημάνουμε τον ρόλο του Πλαισίου TINKER στον σχεδιασμό συμπεριληπτικών και πρακτικών αξιολογήσεων.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Δραστηριότητες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dgziq9ecy1u1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Εισαγωγή (10 λεπτά)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Διαφάνειες:</w:t>
            </w:r>
            <w:r w:rsidDel="00000000" w:rsidR="00000000" w:rsidRPr="00000000">
              <w:rPr>
                <w:rtl w:val="0"/>
              </w:rPr>
              <w:t xml:space="preserve"> Χρησιμοποιήστε τις Διαφάνειες 5-7 από την παρεχόμενη παρουσίαση.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qxb4euxhvpy0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 Ανάλυση παραδειγμάτων διαμορφωτικής αξιολόγησης (15 λεπτά)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Διαφάνειες:</w:t>
            </w:r>
            <w:r w:rsidDel="00000000" w:rsidR="00000000" w:rsidRPr="00000000">
              <w:rPr>
                <w:rtl w:val="0"/>
              </w:rPr>
              <w:t xml:space="preserve"> Χρησιμοποιήστε τις Διαφάνειες 8-10 από την παρεχόμενη παρουσίαση.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7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Βήματα: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7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Ομαδική Συζήτηση (5 λεπτά):</w:t>
            </w:r>
            <w:r w:rsidDel="00000000" w:rsidR="00000000" w:rsidRPr="00000000">
              <w:rPr>
                <w:rtl w:val="0"/>
              </w:rPr>
              <w:t xml:space="preserve"> Παρουσιάστε δύο παραδείγματα διαμορφωτικής αξιολόγησης. 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7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Συνεργατική Ανάλυση (7 λεπτά):</w:t>
            </w:r>
            <w:r w:rsidDel="00000000" w:rsidR="00000000" w:rsidRPr="00000000">
              <w:rPr>
                <w:rtl w:val="0"/>
              </w:rPr>
              <w:t xml:space="preserve"> Σε μικρές ομάδες, προσδιορίστε ποιες αρχές του TINKER εφαρμόζονται στα παραδείγματα.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7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Κοινοποίηση Αποτελεσμάτων  (3 λεπτά):</w:t>
            </w:r>
            <w:r w:rsidDel="00000000" w:rsidR="00000000" w:rsidRPr="00000000">
              <w:rPr>
                <w:rtl w:val="0"/>
              </w:rPr>
              <w:t xml:space="preserve"> Κάθε ομάδα αναφέρει ένα πλεονέκτημα και μια βελτίωση για κάθε αξιολόγηση.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yanndfff60p6" w:id="2"/>
            <w:bookmarkEnd w:id="2"/>
            <w:r w:rsidDel="00000000" w:rsidR="00000000" w:rsidRPr="00000000">
              <w:rPr>
                <w:i w:val="0"/>
                <w:u w:val="single"/>
                <w:rtl w:val="0"/>
              </w:rPr>
              <w:t xml:space="preserve">3. Σχεδιασμός διαμορφωτικής αξιολόγησης (25 λεπτά)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Διαφάνειες:</w:t>
            </w:r>
            <w:r w:rsidDel="00000000" w:rsidR="00000000" w:rsidRPr="00000000">
              <w:rPr>
                <w:rtl w:val="0"/>
              </w:rPr>
              <w:t xml:space="preserve"> Ανατρέξτε στις Διαφάνειες 11-14 για το πρότυπο σχεδιασμού αξιολόγησης.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8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Βήματα: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2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Επισκόπηση Προτύπου (5 λεπτά):</w:t>
            </w:r>
            <w:r w:rsidDel="00000000" w:rsidR="00000000" w:rsidRPr="00000000">
              <w:rPr>
                <w:rtl w:val="0"/>
              </w:rPr>
              <w:t xml:space="preserve"> Εξηγήστε τα στοιχεία μιας διαμορφωτικής αξιολόγησης που ευθυγραμμίζεται με το TINKER.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8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Ομαδική Εργασία (15 λεπτά):</w:t>
            </w:r>
            <w:r w:rsidDel="00000000" w:rsidR="00000000" w:rsidRPr="00000000">
              <w:rPr>
                <w:rtl w:val="0"/>
              </w:rPr>
              <w:t xml:space="preserve"> Κάθε ομάδα σχεδιάζει ένα εργαλείο διαμορφωτικής αξιολόγησης που περιλαμβάνει:</w:t>
            </w:r>
          </w:p>
          <w:p w:rsidR="00000000" w:rsidDel="00000000" w:rsidP="00000000" w:rsidRDefault="00000000" w:rsidRPr="00000000" w14:paraId="00000064">
            <w:pPr>
              <w:numPr>
                <w:ilvl w:val="2"/>
                <w:numId w:val="8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Δύο Πρακτικές Εργασίες:</w:t>
            </w: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5">
            <w:pPr>
              <w:numPr>
                <w:ilvl w:val="3"/>
                <w:numId w:val="8"/>
              </w:numPr>
              <w:ind w:left="288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Εργασία 1: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1d1d1b"/>
                <w:rtl w:val="0"/>
              </w:rPr>
              <w:t xml:space="preserve">Παροχή Οδηγιών: Δώστε οδηγίες σε έναν/μια φίλο/-λη σαν να ήταν ρομπότ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6">
            <w:pPr>
              <w:numPr>
                <w:ilvl w:val="3"/>
                <w:numId w:val="8"/>
              </w:numPr>
              <w:ind w:left="288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Εργασία 2: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1d1d1b"/>
                <w:rtl w:val="0"/>
              </w:rPr>
              <w:t xml:space="preserve">Κυνήγι Θησαυρού: </w:t>
            </w:r>
            <w:r w:rsidDel="00000000" w:rsidR="00000000" w:rsidRPr="00000000">
              <w:rPr>
                <w:color w:val="000000"/>
                <w:rtl w:val="0"/>
              </w:rPr>
              <w:t xml:space="preserve"> Ακολουθήστε βήμα προς βήμα οδηγίες για να βρείτε ένα κρυμμένο αντικείμενο</w:t>
            </w:r>
            <w:r w:rsidDel="00000000" w:rsidR="00000000" w:rsidRPr="00000000">
              <w:rPr>
                <w:color w:val="1d1d1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2"/>
                <w:numId w:val="8"/>
              </w:numPr>
              <w:ind w:left="216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Μία Ερώτηση Αναστοχασμού:</w:t>
            </w:r>
            <w:r w:rsidDel="00000000" w:rsidR="00000000" w:rsidRPr="00000000">
              <w:rPr>
                <w:rtl w:val="0"/>
              </w:rPr>
              <w:t xml:space="preserve"> «Ποιο ήταν το πιο δύσκολο μέρος αυτής της δραστηριότητας και πώς προσεγγίσατε την επίλυσή του;»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8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Περίπατος στην Γκαλερί (5 λεπτά):</w:t>
            </w:r>
            <w:r w:rsidDel="00000000" w:rsidR="00000000" w:rsidRPr="00000000">
              <w:rPr>
                <w:rtl w:val="0"/>
              </w:rPr>
              <w:t xml:space="preserve">  Οι ομάδες αναρτούν τις αξιολογήσεις τους σε έναν κοινό ψηφιακό πίνακα για αξιολόγηση μεταξύ συνομηλίκων.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Style w:val="Heading3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80" w:before="280" w:lineRule="auto"/>
              <w:rPr>
                <w:i w:val="0"/>
                <w:color w:val="000000"/>
                <w:u w:val="single"/>
              </w:rPr>
            </w:pPr>
            <w:bookmarkStart w:colFirst="0" w:colLast="0" w:name="_heading=h.e4qkaz32vrm0" w:id="3"/>
            <w:bookmarkEnd w:id="3"/>
            <w:r w:rsidDel="00000000" w:rsidR="00000000" w:rsidRPr="00000000">
              <w:rPr>
                <w:i w:val="0"/>
                <w:u w:val="single"/>
                <w:rtl w:val="0"/>
              </w:rPr>
              <w:t xml:space="preserve">4. Εφαρμογή και παροχή ανατροφοδότησης (10 λεπτά)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9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Διαφάνειες:</w:t>
            </w:r>
            <w:r w:rsidDel="00000000" w:rsidR="00000000" w:rsidRPr="00000000">
              <w:rPr>
                <w:rtl w:val="0"/>
              </w:rPr>
              <w:t xml:space="preserve"> Χρησιμοποιήστε τις Διαφάνειες 15-21 για στρατηγικές ανατροφοδότησης.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9"/>
              </w:numPr>
              <w:ind w:left="72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Βήματα: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Παρουσίαση των Στρατηγικών Ανατροφοδότησης (3 λεπτά)</w:t>
            </w:r>
            <w:r w:rsidDel="00000000" w:rsidR="00000000" w:rsidRPr="00000000">
              <w:rPr>
                <w:rtl w:val="0"/>
              </w:rPr>
              <w:t xml:space="preserve">: Παρουσιάστε τις στρατηγικές ανατροφοδότησης.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Πρακτική Άσκηση (2 λεπτά):</w:t>
            </w:r>
            <w:r w:rsidDel="00000000" w:rsidR="00000000" w:rsidRPr="00000000">
              <w:rPr>
                <w:rtl w:val="0"/>
              </w:rPr>
              <w:t xml:space="preserve">  Σε ζεύγη, ο/η ένας/μία εκπαιδευτικός διενεργεί την αξιολόγησή του/της και ο/η άλλος/-λη τη συμπληρώνει.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9"/>
              </w:numPr>
              <w:ind w:left="1440" w:hanging="36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Πρακτική Ανατροφοδότησης (5 λεπτά):</w:t>
            </w:r>
            <w:r w:rsidDel="00000000" w:rsidR="00000000" w:rsidRPr="00000000">
              <w:rPr>
                <w:rtl w:val="0"/>
              </w:rPr>
              <w:t xml:space="preserve"> Δώστε άμεση, εποικοδομητική ανατροφοδότηση χρησιμοποιώντας το μοντέλο ανατροφοδότησης TINKER (</w:t>
            </w:r>
            <w:r w:rsidDel="00000000" w:rsidR="00000000" w:rsidRPr="00000000">
              <w:rPr>
                <w:b w:val="1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  <w:t xml:space="preserve">pecific/ Συγκεκριμένη, </w:t>
            </w:r>
            <w:r w:rsidDel="00000000" w:rsidR="00000000" w:rsidRPr="00000000">
              <w:rPr>
                <w:b w:val="1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imely/Έγκαιρη, </w:t>
            </w:r>
            <w:r w:rsidDel="00000000" w:rsidR="00000000" w:rsidRPr="00000000">
              <w:rPr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  <w:t xml:space="preserve">ctionable/Εφικτή, </w:t>
            </w:r>
            <w:r w:rsidDel="00000000" w:rsidR="00000000" w:rsidRPr="00000000">
              <w:rPr>
                <w:b w:val="1"/>
                <w:rtl w:val="0"/>
              </w:rPr>
              <w:t xml:space="preserve">R</w:t>
            </w:r>
            <w:r w:rsidDel="00000000" w:rsidR="00000000" w:rsidRPr="00000000">
              <w:rPr>
                <w:rtl w:val="0"/>
              </w:rPr>
              <w:t xml:space="preserve">espectful/Με σεβασμό – STAR).</w:t>
              <w:br w:type="textWrapping"/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Αξιολόγηση </w:t>
            </w:r>
          </w:p>
        </w:tc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3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Συλλέξτε τις σχεδιασμένες διαμορφωτικές αξιολογήσεις και δώστε ανατροφοδότηση.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6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Συμβάλλετε στη διαδικασία αξιολόγησης μεταξύ συνομηλίκων στο πλαίσιο του νήματος (thread) συζήτησης της ενότητας.</w:t>
            </w:r>
          </w:p>
        </w:tc>
      </w:tr>
    </w:tbl>
    <w:p w:rsidR="00000000" w:rsidDel="00000000" w:rsidP="00000000" w:rsidRDefault="00000000" w:rsidRPr="00000000" w14:paraId="00000073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74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ΒΑΣΙΚΑ ΣΗΜΕΙΑ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Αναστοχασμός και Συμπέρασμα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bookmarkStart w:colFirst="0" w:colLast="0" w:name="_heading=h.woeqso3hvovt" w:id="4"/>
            <w:bookmarkEnd w:id="4"/>
            <w:r w:rsidDel="00000000" w:rsidR="00000000" w:rsidRPr="00000000">
              <w:rPr>
                <w:b w:val="1"/>
                <w:color w:val="1d1d1b"/>
                <w:rtl w:val="0"/>
              </w:rPr>
              <w:t xml:space="preserve">Ανακεφαλαίωση:</w:t>
            </w:r>
            <w:r w:rsidDel="00000000" w:rsidR="00000000" w:rsidRPr="00000000">
              <w:rPr>
                <w:color w:val="1d1d1b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color w:val="1d1d1b"/>
                <w:rtl w:val="0"/>
              </w:rPr>
              <w:t xml:space="preserve">Ανακεφαλαιώστε τις βασικές έννοιες (διαμορφωτική έναντι αθροιστικής αξιολόγησης) και την ευθυγράμμισή τους με τις αρχές του TINKER.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18" w:hanging="360"/>
              <w:rPr/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Ερωτήσεις αναστοχασμού: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Ποια είναι η αξία των διαμορφωτικών αξιολογήσεων στην εκπαίδευση στην πληροφορική;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Πώς μπορεί η ανατροφοδότηση να βελτιώσει τα μαθησιακά αποτελέσματα;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4"/>
              </w:numPr>
              <w:ind w:left="720" w:hanging="360"/>
              <w:rPr/>
            </w:pPr>
            <w:r w:rsidDel="00000000" w:rsidR="00000000" w:rsidRPr="00000000">
              <w:rPr>
                <w:rtl w:val="0"/>
              </w:rPr>
              <w:t xml:space="preserve">Ποια αρχή του TINKER ήταν πιο δύσκολο να εφαρμόσετε στον σχεδιασμό σας;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Εργασίες για το Σπίτι/ Πρόσθετες Εργασίες</w:t>
            </w:r>
          </w:p>
        </w:tc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Βελτίωση του σχεδιασμένου εργαλείου αξιολόγησης:</w:t>
            </w:r>
            <w:r w:rsidDel="00000000" w:rsidR="00000000" w:rsidRPr="00000000">
              <w:rPr>
                <w:color w:val="000000"/>
                <w:rtl w:val="0"/>
              </w:rPr>
              <w:t xml:space="preserve"> Με βάση την ανατροφοδότηση των συνομηλίκων σας, αναθεωρήστε τη διαμορφωτική αξιολόγηση και υποβάλετε την στο αποθετήριο του μαθήματος</w:t>
            </w:r>
            <w:r w:rsidDel="00000000" w:rsidR="00000000" w:rsidRPr="00000000">
              <w:rPr>
                <w:color w:val="1d1d1b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18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Πηγές για περαιτέρω ανάγνωση:</w:t>
            </w:r>
            <w:r w:rsidDel="00000000" w:rsidR="00000000" w:rsidRPr="00000000">
              <w:rPr>
                <w:color w:val="1d1d1b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1d1d1b"/>
                <w:rtl w:val="0"/>
              </w:rPr>
              <w:t xml:space="preserve">Για επιπλέον έμπνευση, εξερευνήστε τις μελέτες περίπτωσης στον δικτυακό τόπο (website) του Έργου TINKER.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Eun ScienceTeam" w:id="0" w:date="2025-06-03T13:27:25Z"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access is denied. Please also make sure to add open-access links.</w:t>
      </w:r>
    </w:p>
  </w:comment>
  <w:comment w:author="Eleni Mangina" w:id="1" w:date="2025-06-06T12:12:11Z"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WP leader - we have no rights to change it</w:t>
      </w:r>
    </w:p>
  </w:comment>
  <w:comment w:author="Eun ScienceTeam" w:id="2" w:date="2025-06-03T13:27:45Z"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comment as above.</w:t>
      </w:r>
    </w:p>
  </w:comment>
  <w:comment w:author="Eleni Mangina" w:id="3" w:date="2025-06-06T12:12:19Z"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same as above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83" w15:done="0"/>
  <w15:commentEx w15:paraId="00000084" w15:paraIdParent="00000083" w15:done="0"/>
  <w15:commentEx w15:paraId="00000085" w15:done="0"/>
  <w15:commentEx w15:paraId="00000086" w15:paraIdParent="00000085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762000</wp:posOffset>
              </wp:positionH>
              <wp:positionV relativeFrom="paragraph">
                <wp:posOffset>25400</wp:posOffset>
              </wp:positionV>
              <wp:extent cx="5500370" cy="752475"/>
              <wp:effectExtent b="0" l="0" r="0" t="0"/>
              <wp:wrapNone/>
              <wp:docPr id="1597007048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Με τη χρηματοδότηση της Ευρωπαϊκής Ένωσης. Ωστόσο, οι απόψεις και οι γνώμες που διατυπώνονται εκφράζουν αποκλειστικά τις απόψεις του/των συντάκτη/-κτών και δεν αντιπροσωπεύουν κατ' ανάγκη τις απόψεις της Ευρωπαϊκής Ένωσης ή του Ευρωπαϊκού Εκτελεστικού Οργανισμού Εκπαίδευσης και Πολιτισμού (EACEA). Ούτε η Ευρωπαϊκή Ένωση ούτε ο EACEA μπορούν να θεωρηθούν υπεύθυνοι για αυτές. Αριθμός Έργου: 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762000</wp:posOffset>
              </wp:positionH>
              <wp:positionV relativeFrom="paragraph">
                <wp:posOffset>25400</wp:posOffset>
              </wp:positionV>
              <wp:extent cx="5500370" cy="752475"/>
              <wp:effectExtent b="0" l="0" r="0" t="0"/>
              <wp:wrapNone/>
              <wp:docPr id="1597007048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00370" cy="7524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-645781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5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○"/>
      <w:lvlJc w:val="left"/>
      <w:pPr>
        <w:ind w:left="1440" w:hanging="360"/>
      </w:pPr>
      <w:rPr/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e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Char" w:customStyle="1">
    <w:name w:val="Κεφαλίδα Char"/>
    <w:basedOn w:val="a0"/>
    <w:link w:val="a4"/>
    <w:uiPriority w:val="99"/>
    <w:rsid w:val="000E72EE"/>
  </w:style>
  <w:style w:type="paragraph" w:styleId="a5">
    <w:name w:val="footer"/>
    <w:basedOn w:val="a"/>
    <w:link w:val="Char0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Char0" w:customStyle="1">
    <w:name w:val="Υποσέλιδο Char"/>
    <w:basedOn w:val="a0"/>
    <w:link w:val="a5"/>
    <w:uiPriority w:val="99"/>
    <w:rsid w:val="000E72EE"/>
  </w:style>
  <w:style w:type="character" w:styleId="1Char" w:customStyle="1">
    <w:name w:val="Επικεφαλίδα 1 Char"/>
    <w:basedOn w:val="a0"/>
    <w:link w:val="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2Char" w:customStyle="1">
    <w:name w:val="Επικεφαλίδα 2 Char"/>
    <w:basedOn w:val="a0"/>
    <w:link w:val="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3Char" w:customStyle="1">
    <w:name w:val="Επικεφαλίδα 3 Char"/>
    <w:basedOn w:val="a0"/>
    <w:link w:val="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4Char" w:customStyle="1">
    <w:name w:val="Επικεφαλίδα 4 Char"/>
    <w:basedOn w:val="a0"/>
    <w:link w:val="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a6">
    <w:name w:val="List Paragraph"/>
    <w:basedOn w:val="a"/>
    <w:uiPriority w:val="34"/>
    <w:qFormat w:val="1"/>
    <w:rsid w:val="00B22564"/>
    <w:pPr>
      <w:ind w:left="720"/>
      <w:contextualSpacing w:val="1"/>
    </w:pPr>
  </w:style>
  <w:style w:type="table" w:styleId="a7">
    <w:name w:val="Table Grid"/>
    <w:basedOn w:val="a1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-">
    <w:name w:val="Hyperlink"/>
    <w:basedOn w:val="a0"/>
    <w:uiPriority w:val="99"/>
    <w:unhideWhenUsed w:val="1"/>
    <w:rsid w:val="001C523D"/>
    <w:rPr>
      <w:color w:val="16c45b" w:themeColor="hyperlink"/>
      <w:u w:val="single"/>
    </w:rPr>
  </w:style>
  <w:style w:type="paragraph" w:styleId="10">
    <w:name w:val="toc 1"/>
    <w:basedOn w:val="a"/>
    <w:next w:val="a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20">
    <w:name w:val="toc 2"/>
    <w:basedOn w:val="a"/>
    <w:next w:val="a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30">
    <w:name w:val="toc 3"/>
    <w:basedOn w:val="a"/>
    <w:next w:val="a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Web">
    <w:name w:val="Normal (Web)"/>
    <w:basedOn w:val="a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5Char" w:customStyle="1">
    <w:name w:val="Επικεφαλίδα 5 Char"/>
    <w:basedOn w:val="a0"/>
    <w:link w:val="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40">
    <w:name w:val="toc 4"/>
    <w:basedOn w:val="a"/>
    <w:next w:val="a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50">
    <w:name w:val="toc 5"/>
    <w:basedOn w:val="a"/>
    <w:next w:val="a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a8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1-6">
    <w:name w:val="Grid Table 1 Light Accent 6"/>
    <w:basedOn w:val="a1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5-6">
    <w:name w:val="Grid Table 5 Dark Accent 6"/>
    <w:basedOn w:val="a1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6Char" w:customStyle="1">
    <w:name w:val="Επικεφαλίδα 6 Char"/>
    <w:basedOn w:val="a0"/>
    <w:link w:val="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4-1">
    <w:name w:val="Grid Table 4 Accent 1"/>
    <w:basedOn w:val="a1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-0">
    <w:name w:val="FollowedHyperlink"/>
    <w:basedOn w:val="a0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a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a0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4-2">
    <w:name w:val="Grid Table 4 Accent 2"/>
    <w:basedOn w:val="a1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4-4">
    <w:name w:val="Grid Table 4 Accent 4"/>
    <w:basedOn w:val="a1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4-3">
    <w:name w:val="Grid Table 4 Accent 3"/>
    <w:basedOn w:val="a1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a9">
    <w:name w:val="TOC Heading"/>
    <w:basedOn w:val="1"/>
    <w:next w:val="a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b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c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d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e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0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1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2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3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4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5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6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7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8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9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a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b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c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d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e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0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1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2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3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4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5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6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7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8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9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a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b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c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d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e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0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1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2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3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4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5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6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character" w:styleId="afff7">
    <w:name w:val="Strong"/>
    <w:basedOn w:val="a0"/>
    <w:uiPriority w:val="22"/>
    <w:qFormat w:val="1"/>
    <w:rsid w:val="008702EE"/>
    <w:rPr>
      <w:b w:val="1"/>
      <w:bCs w:val="1"/>
    </w:rPr>
  </w:style>
  <w:style w:type="table" w:styleId="afff8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9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a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b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c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d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e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0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1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2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ffff3" w:customStyle="1">
    <w:basedOn w:val="a1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affff4">
    <w:name w:val="annotation text"/>
    <w:basedOn w:val="a"/>
    <w:link w:val="Char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har1" w:customStyle="1">
    <w:name w:val="Κείμενο σχολίου Char"/>
    <w:basedOn w:val="a0"/>
    <w:link w:val="affff4"/>
    <w:uiPriority w:val="99"/>
    <w:semiHidden w:val="1"/>
    <w:rPr>
      <w:color w:val="1d1d1b" w:themeColor="text1"/>
      <w:sz w:val="20"/>
      <w:szCs w:val="20"/>
    </w:rPr>
  </w:style>
  <w:style w:type="character" w:styleId="affff5">
    <w:name w:val="annotation reference"/>
    <w:basedOn w:val="a0"/>
    <w:uiPriority w:val="99"/>
    <w:semiHidden w:val="1"/>
    <w:unhideWhenUsed w:val="1"/>
    <w:rPr>
      <w:sz w:val="16"/>
      <w:szCs w:val="16"/>
    </w:rPr>
  </w:style>
  <w:style w:type="paragraph" w:styleId="affff6">
    <w:name w:val="Balloon Text"/>
    <w:basedOn w:val="a"/>
    <w:link w:val="Char2"/>
    <w:uiPriority w:val="99"/>
    <w:semiHidden w:val="1"/>
    <w:unhideWhenUsed w:val="1"/>
    <w:rsid w:val="0028513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Char2" w:customStyle="1">
    <w:name w:val="Κείμενο πλαισίου Char"/>
    <w:basedOn w:val="a0"/>
    <w:link w:val="affff6"/>
    <w:uiPriority w:val="99"/>
    <w:semiHidden w:val="1"/>
    <w:rsid w:val="00285130"/>
    <w:rPr>
      <w:rFonts w:ascii="Segoe UI" w:cs="Segoe UI" w:hAnsi="Segoe UI"/>
      <w:color w:val="1d1d1b" w:themeColor="text1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3" Type="http://schemas.openxmlformats.org/officeDocument/2006/relationships/hyperlink" Target="https://drive.google.com/drive/folders/1amdTg7H03vhSHD2CX7zsgMVhSPxUL4Du?usp=drive_link" TargetMode="External"/><Relationship Id="rId12" Type="http://schemas.openxmlformats.org/officeDocument/2006/relationships/image" Target="media/image3.jpg"/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2.jpg"/><Relationship Id="rId15" Type="http://schemas.openxmlformats.org/officeDocument/2006/relationships/hyperlink" Target="https://drive.google.com/drive/folders/1amdTg7H03vhSHD2CX7zsgMVhSPxUL4Du?usp=drive_link" TargetMode="External"/><Relationship Id="rId14" Type="http://schemas.openxmlformats.org/officeDocument/2006/relationships/hyperlink" Target="https://tinker-project.eu/" TargetMode="External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o+5TGuT42OyjITCbsNnrImRQmw==">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2025-02-18T10:04:00Z</dcterms:created>
  <dc:creator>Helen</dc:creator>
</cp:coreProperties>
</file>